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5F6" w:rsidRDefault="004465F6" w:rsidP="004465F6">
      <w:pPr>
        <w:jc w:val="center"/>
        <w:rPr>
          <w:b/>
          <w:sz w:val="36"/>
          <w:szCs w:val="36"/>
          <w:u w:val="single"/>
        </w:rPr>
      </w:pPr>
      <w:r>
        <w:rPr>
          <w:b/>
          <w:sz w:val="36"/>
          <w:szCs w:val="36"/>
          <w:u w:val="single"/>
        </w:rPr>
        <w:t>Strategic Use of Net Assets</w:t>
      </w:r>
      <w:r w:rsidRPr="00777AF5">
        <w:rPr>
          <w:b/>
          <w:sz w:val="36"/>
          <w:szCs w:val="36"/>
          <w:u w:val="single"/>
        </w:rPr>
        <w:t xml:space="preserve"> Outline</w:t>
      </w:r>
    </w:p>
    <w:p w:rsidR="00A22BEF" w:rsidRDefault="00A22BEF" w:rsidP="00A22BEF"/>
    <w:p w:rsidR="004465F6" w:rsidRPr="00A22BEF" w:rsidRDefault="00A22BEF" w:rsidP="00A22BEF">
      <w:r w:rsidRPr="00A22BEF">
        <w:t>Adopted</w:t>
      </w:r>
      <w:r>
        <w:t xml:space="preserve"> by Board of Directors</w:t>
      </w:r>
      <w:r w:rsidRPr="00A22BEF">
        <w:t>: May 2017</w:t>
      </w:r>
    </w:p>
    <w:p w:rsidR="00A22BEF" w:rsidRDefault="00A22BEF" w:rsidP="00A22BEF">
      <w:pPr>
        <w:rPr>
          <w:b/>
          <w:sz w:val="36"/>
          <w:szCs w:val="36"/>
          <w:u w:val="single"/>
        </w:rPr>
      </w:pPr>
    </w:p>
    <w:p w:rsidR="004465F6" w:rsidRDefault="004465F6" w:rsidP="00372B57">
      <w:pPr>
        <w:pStyle w:val="ListParagraph"/>
        <w:numPr>
          <w:ilvl w:val="0"/>
          <w:numId w:val="1"/>
        </w:numPr>
        <w:ind w:left="360"/>
        <w:rPr>
          <w:sz w:val="24"/>
          <w:szCs w:val="24"/>
        </w:rPr>
      </w:pPr>
      <w:r>
        <w:rPr>
          <w:sz w:val="24"/>
          <w:szCs w:val="24"/>
        </w:rPr>
        <w:t>This proposed policy is in lieu of the current policy that states that AEA can’t fund a new Strategic Initiative within a given year, if it causes AEA to have a deficit budget within that given year.  The parameters and conditions outlined below, would be tied to Total Net Assets and not the AEA Budget surplus or deficit in a given year.</w:t>
      </w:r>
    </w:p>
    <w:p w:rsidR="004465F6" w:rsidRPr="00E80EB4" w:rsidRDefault="004465F6" w:rsidP="00372B57">
      <w:pPr>
        <w:pStyle w:val="ListParagraph"/>
        <w:ind w:left="360" w:hanging="360"/>
        <w:rPr>
          <w:sz w:val="24"/>
          <w:szCs w:val="24"/>
        </w:rPr>
      </w:pPr>
      <w:r w:rsidRPr="00E80EB4">
        <w:rPr>
          <w:sz w:val="24"/>
          <w:szCs w:val="24"/>
        </w:rPr>
        <w:t xml:space="preserve">    </w:t>
      </w:r>
    </w:p>
    <w:p w:rsidR="004465F6" w:rsidRPr="00E80EB4" w:rsidRDefault="004465F6" w:rsidP="00372B57">
      <w:pPr>
        <w:pStyle w:val="ListParagraph"/>
        <w:numPr>
          <w:ilvl w:val="0"/>
          <w:numId w:val="1"/>
        </w:numPr>
        <w:ind w:left="360"/>
        <w:rPr>
          <w:sz w:val="24"/>
          <w:szCs w:val="24"/>
        </w:rPr>
      </w:pPr>
      <w:r>
        <w:rPr>
          <w:sz w:val="24"/>
          <w:szCs w:val="24"/>
        </w:rPr>
        <w:t>At the end of each fiscal year, the Net Asset Reserve Ratio should be calculated.</w:t>
      </w:r>
    </w:p>
    <w:p w:rsidR="004465F6" w:rsidRDefault="004465F6" w:rsidP="00372B57">
      <w:pPr>
        <w:pStyle w:val="ListParagraph"/>
        <w:ind w:left="360" w:hanging="360"/>
        <w:rPr>
          <w:sz w:val="24"/>
          <w:szCs w:val="24"/>
        </w:rPr>
      </w:pPr>
    </w:p>
    <w:p w:rsidR="004465F6" w:rsidRDefault="004465F6" w:rsidP="00D218E7">
      <w:pPr>
        <w:pStyle w:val="ListParagraph"/>
        <w:numPr>
          <w:ilvl w:val="1"/>
          <w:numId w:val="1"/>
        </w:numPr>
        <w:ind w:left="900" w:hanging="180"/>
        <w:rPr>
          <w:sz w:val="24"/>
          <w:szCs w:val="24"/>
        </w:rPr>
      </w:pPr>
      <w:r>
        <w:rPr>
          <w:sz w:val="24"/>
          <w:szCs w:val="24"/>
        </w:rPr>
        <w:t>The Net Asset Reserve Ratio is defined by the following:</w:t>
      </w:r>
      <w:bookmarkStart w:id="0" w:name="_GoBack"/>
      <w:bookmarkEnd w:id="0"/>
    </w:p>
    <w:p w:rsidR="004465F6" w:rsidRDefault="004465F6" w:rsidP="00372B57">
      <w:pPr>
        <w:pStyle w:val="ListParagraph"/>
        <w:ind w:left="360" w:hanging="360"/>
        <w:rPr>
          <w:b/>
          <w:sz w:val="24"/>
          <w:szCs w:val="24"/>
        </w:rPr>
      </w:pPr>
    </w:p>
    <w:p w:rsidR="00A22BEF" w:rsidRDefault="00A22BEF" w:rsidP="00A22BEF">
      <w:pPr>
        <w:pStyle w:val="ListParagraph"/>
        <w:ind w:left="360" w:hanging="360"/>
        <w:jc w:val="center"/>
        <w:rPr>
          <w:b/>
          <w:sz w:val="24"/>
          <w:szCs w:val="24"/>
        </w:rPr>
      </w:pPr>
      <w:r>
        <w:rPr>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848563</wp:posOffset>
                </wp:positionH>
                <wp:positionV relativeFrom="paragraph">
                  <wp:posOffset>173761</wp:posOffset>
                </wp:positionV>
                <wp:extent cx="4220845" cy="1"/>
                <wp:effectExtent l="0" t="0" r="27305" b="19050"/>
                <wp:wrapNone/>
                <wp:docPr id="1" name="Straight Connector 1"/>
                <wp:cNvGraphicFramePr/>
                <a:graphic xmlns:a="http://schemas.openxmlformats.org/drawingml/2006/main">
                  <a:graphicData uri="http://schemas.microsoft.com/office/word/2010/wordprocessingShape">
                    <wps:wsp>
                      <wps:cNvCnPr/>
                      <wps:spPr>
                        <a:xfrm flipV="1">
                          <a:off x="0" y="0"/>
                          <a:ext cx="4220845" cy="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6.8pt,13.7pt" to="399.1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" strokecolor="black [3213]"/>
            </w:pict>
          </mc:Fallback>
        </mc:AlternateContent>
      </w:r>
      <w:r w:rsidR="004465F6" w:rsidRPr="00A22BEF">
        <w:rPr>
          <w:b/>
          <w:sz w:val="24"/>
          <w:szCs w:val="24"/>
        </w:rPr>
        <w:t>Final Current Y</w:t>
      </w:r>
      <w:r w:rsidRPr="00A22BEF">
        <w:rPr>
          <w:b/>
          <w:sz w:val="24"/>
          <w:szCs w:val="24"/>
        </w:rPr>
        <w:t xml:space="preserve">ear Total Net Assets </w:t>
      </w:r>
      <w:r>
        <w:rPr>
          <w:b/>
          <w:sz w:val="24"/>
          <w:szCs w:val="24"/>
        </w:rPr>
        <w:t>(divided by)</w:t>
      </w:r>
    </w:p>
    <w:p w:rsidR="004465F6" w:rsidRDefault="004465F6" w:rsidP="00A22BEF">
      <w:pPr>
        <w:pStyle w:val="ListParagraph"/>
        <w:ind w:left="360" w:hanging="360"/>
        <w:jc w:val="center"/>
        <w:rPr>
          <w:b/>
          <w:sz w:val="24"/>
          <w:szCs w:val="24"/>
        </w:rPr>
      </w:pPr>
      <w:r w:rsidRPr="00230C87">
        <w:rPr>
          <w:b/>
          <w:sz w:val="24"/>
          <w:szCs w:val="24"/>
        </w:rPr>
        <w:t>Upcoming Fiscal Year Total Budgeted Operating Expenses</w:t>
      </w:r>
    </w:p>
    <w:p w:rsidR="004465F6" w:rsidRDefault="004465F6" w:rsidP="00372B57">
      <w:pPr>
        <w:pStyle w:val="ListParagraph"/>
        <w:ind w:left="360" w:hanging="360"/>
        <w:rPr>
          <w:b/>
          <w:sz w:val="24"/>
          <w:szCs w:val="24"/>
        </w:rPr>
      </w:pPr>
    </w:p>
    <w:p w:rsidR="004465F6" w:rsidRPr="00626216" w:rsidRDefault="004465F6" w:rsidP="00372B57">
      <w:pPr>
        <w:pStyle w:val="ListParagraph"/>
        <w:numPr>
          <w:ilvl w:val="0"/>
          <w:numId w:val="1"/>
        </w:numPr>
        <w:ind w:left="360"/>
        <w:rPr>
          <w:b/>
          <w:sz w:val="24"/>
          <w:szCs w:val="24"/>
        </w:rPr>
      </w:pPr>
      <w:r>
        <w:rPr>
          <w:sz w:val="24"/>
          <w:szCs w:val="24"/>
        </w:rPr>
        <w:t xml:space="preserve">A minimum Net Asset Reserve Ratio should be established by the AEA Board.  </w:t>
      </w:r>
      <w:r w:rsidR="005543D0">
        <w:rPr>
          <w:sz w:val="24"/>
          <w:szCs w:val="24"/>
        </w:rPr>
        <w:t xml:space="preserve">Beginning with FY2018, the </w:t>
      </w:r>
      <w:r>
        <w:rPr>
          <w:sz w:val="24"/>
          <w:szCs w:val="24"/>
        </w:rPr>
        <w:t xml:space="preserve">ratio </w:t>
      </w:r>
      <w:r w:rsidR="005543D0">
        <w:rPr>
          <w:sz w:val="24"/>
          <w:szCs w:val="24"/>
        </w:rPr>
        <w:t xml:space="preserve">will </w:t>
      </w:r>
      <w:r>
        <w:rPr>
          <w:sz w:val="24"/>
          <w:szCs w:val="24"/>
        </w:rPr>
        <w:t>be</w:t>
      </w:r>
      <w:r w:rsidR="001814BD">
        <w:rPr>
          <w:sz w:val="24"/>
          <w:szCs w:val="24"/>
        </w:rPr>
        <w:t xml:space="preserve"> no less than</w:t>
      </w:r>
      <w:r>
        <w:rPr>
          <w:sz w:val="24"/>
          <w:szCs w:val="24"/>
        </w:rPr>
        <w:t xml:space="preserve"> </w:t>
      </w:r>
      <w:r w:rsidR="00B77D0B">
        <w:rPr>
          <w:sz w:val="24"/>
          <w:szCs w:val="24"/>
        </w:rPr>
        <w:t xml:space="preserve">.80 to be revisited no later than </w:t>
      </w:r>
      <w:r w:rsidR="00270ABC">
        <w:rPr>
          <w:sz w:val="24"/>
          <w:szCs w:val="24"/>
        </w:rPr>
        <w:t xml:space="preserve">budget preparation for </w:t>
      </w:r>
      <w:r w:rsidR="00B77D0B">
        <w:rPr>
          <w:sz w:val="24"/>
          <w:szCs w:val="24"/>
        </w:rPr>
        <w:t xml:space="preserve">FY2020. (This policy would </w:t>
      </w:r>
      <w:r w:rsidR="001814BD">
        <w:rPr>
          <w:sz w:val="24"/>
          <w:szCs w:val="24"/>
        </w:rPr>
        <w:t xml:space="preserve">suspend </w:t>
      </w:r>
      <w:r w:rsidR="00B77D0B">
        <w:rPr>
          <w:sz w:val="24"/>
          <w:szCs w:val="24"/>
        </w:rPr>
        <w:t>previous policy tests #1, #2.</w:t>
      </w:r>
      <w:r w:rsidR="001814BD">
        <w:rPr>
          <w:sz w:val="24"/>
          <w:szCs w:val="24"/>
        </w:rPr>
        <w:t xml:space="preserve"> However, the test </w:t>
      </w:r>
      <w:r w:rsidR="00270ABC">
        <w:rPr>
          <w:sz w:val="24"/>
          <w:szCs w:val="24"/>
        </w:rPr>
        <w:t>will</w:t>
      </w:r>
      <w:r w:rsidR="001814BD">
        <w:rPr>
          <w:sz w:val="24"/>
          <w:szCs w:val="24"/>
        </w:rPr>
        <w:t xml:space="preserve"> remain present in the financial budget preparation in order to continue analysis and comparison.</w:t>
      </w:r>
      <w:r w:rsidR="00B77D0B">
        <w:rPr>
          <w:sz w:val="24"/>
          <w:szCs w:val="24"/>
        </w:rPr>
        <w:t>)</w:t>
      </w:r>
      <w:r w:rsidR="001814BD">
        <w:rPr>
          <w:sz w:val="24"/>
          <w:szCs w:val="24"/>
        </w:rPr>
        <w:t xml:space="preserve"> Wherever the ratio is presented, the calculation</w:t>
      </w:r>
      <w:r w:rsidR="00270ABC">
        <w:rPr>
          <w:sz w:val="24"/>
          <w:szCs w:val="24"/>
        </w:rPr>
        <w:t>s</w:t>
      </w:r>
      <w:r w:rsidR="001814BD">
        <w:rPr>
          <w:sz w:val="24"/>
          <w:szCs w:val="24"/>
        </w:rPr>
        <w:t xml:space="preserve"> will be</w:t>
      </w:r>
      <w:r w:rsidR="00270ABC">
        <w:rPr>
          <w:sz w:val="24"/>
          <w:szCs w:val="24"/>
        </w:rPr>
        <w:t xml:space="preserve"> shown</w:t>
      </w:r>
      <w:r w:rsidR="001814BD">
        <w:rPr>
          <w:sz w:val="24"/>
          <w:szCs w:val="24"/>
        </w:rPr>
        <w:t>.</w:t>
      </w:r>
    </w:p>
    <w:p w:rsidR="004465F6" w:rsidRPr="00F21891" w:rsidRDefault="004465F6" w:rsidP="00372B57">
      <w:pPr>
        <w:pStyle w:val="ListParagraph"/>
        <w:ind w:left="360" w:hanging="360"/>
        <w:rPr>
          <w:b/>
          <w:sz w:val="24"/>
          <w:szCs w:val="24"/>
        </w:rPr>
      </w:pPr>
    </w:p>
    <w:p w:rsidR="004465F6" w:rsidRPr="00FB23BE" w:rsidRDefault="004465F6" w:rsidP="00372B57">
      <w:pPr>
        <w:pStyle w:val="ListParagraph"/>
        <w:numPr>
          <w:ilvl w:val="0"/>
          <w:numId w:val="1"/>
        </w:numPr>
        <w:ind w:left="360"/>
        <w:rPr>
          <w:b/>
          <w:sz w:val="24"/>
          <w:szCs w:val="24"/>
        </w:rPr>
      </w:pPr>
      <w:r>
        <w:rPr>
          <w:sz w:val="24"/>
          <w:szCs w:val="24"/>
        </w:rPr>
        <w:t>Any amount of strategic funding may be established and utilized by the AEA Board, up to an amount that maintains the established Net Asset Reserve Ratio of 1.10 or greater.</w:t>
      </w:r>
    </w:p>
    <w:p w:rsidR="004465F6" w:rsidRPr="00FB23BE" w:rsidRDefault="004465F6" w:rsidP="00372B57">
      <w:pPr>
        <w:pStyle w:val="ListParagraph"/>
        <w:ind w:left="360" w:hanging="360"/>
        <w:rPr>
          <w:b/>
          <w:sz w:val="24"/>
          <w:szCs w:val="24"/>
        </w:rPr>
      </w:pPr>
    </w:p>
    <w:p w:rsidR="004465F6" w:rsidRPr="00626216" w:rsidRDefault="004465F6" w:rsidP="00372B57">
      <w:pPr>
        <w:pStyle w:val="ListParagraph"/>
        <w:numPr>
          <w:ilvl w:val="0"/>
          <w:numId w:val="1"/>
        </w:numPr>
        <w:ind w:left="360"/>
        <w:rPr>
          <w:b/>
          <w:sz w:val="24"/>
          <w:szCs w:val="24"/>
        </w:rPr>
      </w:pPr>
      <w:r>
        <w:rPr>
          <w:sz w:val="24"/>
          <w:szCs w:val="24"/>
        </w:rPr>
        <w:t>Strategic Initiatives are to be evaluated and approved by the AEA Board.  A series of requirements and KPI’s (Key Performance Indicators) should be created by the Board in order to evaluate whether or not a Strategic Initiative is viable and should be funded.</w:t>
      </w:r>
    </w:p>
    <w:p w:rsidR="004465F6" w:rsidRPr="008F47A6" w:rsidRDefault="004465F6" w:rsidP="00372B57">
      <w:pPr>
        <w:pStyle w:val="ListParagraph"/>
        <w:ind w:left="360" w:hanging="360"/>
        <w:rPr>
          <w:b/>
          <w:sz w:val="24"/>
          <w:szCs w:val="24"/>
        </w:rPr>
      </w:pPr>
    </w:p>
    <w:p w:rsidR="004465F6" w:rsidRPr="00A768A1" w:rsidRDefault="004465F6" w:rsidP="00372B57">
      <w:pPr>
        <w:pStyle w:val="ListParagraph"/>
        <w:numPr>
          <w:ilvl w:val="0"/>
          <w:numId w:val="1"/>
        </w:numPr>
        <w:ind w:left="360"/>
        <w:rPr>
          <w:b/>
          <w:sz w:val="24"/>
          <w:szCs w:val="24"/>
        </w:rPr>
      </w:pPr>
      <w:r>
        <w:rPr>
          <w:sz w:val="24"/>
          <w:szCs w:val="24"/>
        </w:rPr>
        <w:t>No additional Strategic Initiatives may be funded at the end of the fiscal year unless the established Net Asset Reserve Ratio is greater than or equal to the AEA Board approved ratio.</w:t>
      </w:r>
    </w:p>
    <w:p w:rsidR="004465F6" w:rsidRPr="00A768A1" w:rsidRDefault="004465F6" w:rsidP="00372B57">
      <w:pPr>
        <w:pStyle w:val="ListParagraph"/>
        <w:ind w:left="360" w:hanging="360"/>
        <w:rPr>
          <w:b/>
          <w:sz w:val="24"/>
          <w:szCs w:val="24"/>
        </w:rPr>
      </w:pPr>
    </w:p>
    <w:p w:rsidR="004465F6" w:rsidRPr="006D6B66" w:rsidRDefault="004465F6" w:rsidP="00D218E7">
      <w:pPr>
        <w:pStyle w:val="ListParagraph"/>
        <w:numPr>
          <w:ilvl w:val="1"/>
          <w:numId w:val="1"/>
        </w:numPr>
        <w:ind w:left="720" w:hanging="270"/>
        <w:rPr>
          <w:b/>
          <w:sz w:val="24"/>
          <w:szCs w:val="24"/>
        </w:rPr>
      </w:pPr>
      <w:r>
        <w:rPr>
          <w:sz w:val="24"/>
          <w:szCs w:val="24"/>
        </w:rPr>
        <w:t>The newly calculated ratio needs to include any suggested Strategic Initiatives for the upcoming fiscal year and still be greater than or equal to the AEA Board approved Net Asset Reserve Ratio minimum.</w:t>
      </w:r>
    </w:p>
    <w:p w:rsidR="004465F6" w:rsidRPr="006734EE" w:rsidRDefault="004465F6" w:rsidP="00372B57">
      <w:pPr>
        <w:pStyle w:val="ListParagraph"/>
        <w:ind w:left="360" w:hanging="360"/>
        <w:rPr>
          <w:b/>
          <w:sz w:val="24"/>
          <w:szCs w:val="24"/>
        </w:rPr>
      </w:pPr>
    </w:p>
    <w:p w:rsidR="004465F6" w:rsidRPr="00626216" w:rsidRDefault="004465F6" w:rsidP="00D218E7">
      <w:pPr>
        <w:pStyle w:val="ListParagraph"/>
        <w:numPr>
          <w:ilvl w:val="1"/>
          <w:numId w:val="1"/>
        </w:numPr>
        <w:ind w:left="720" w:hanging="270"/>
        <w:rPr>
          <w:b/>
          <w:sz w:val="24"/>
          <w:szCs w:val="24"/>
        </w:rPr>
      </w:pPr>
      <w:r>
        <w:rPr>
          <w:sz w:val="24"/>
          <w:szCs w:val="24"/>
        </w:rPr>
        <w:lastRenderedPageBreak/>
        <w:t>No additional Strategic Initiatives may be funded if the ratio falls below the established Net Asset Reserve Ratio, until the ratio returns to the Board established minimum or greater.</w:t>
      </w:r>
    </w:p>
    <w:p w:rsidR="004465F6" w:rsidRPr="007A029C" w:rsidRDefault="004465F6" w:rsidP="00D218E7">
      <w:pPr>
        <w:pStyle w:val="ListParagraph"/>
        <w:ind w:hanging="270"/>
        <w:rPr>
          <w:b/>
          <w:sz w:val="24"/>
          <w:szCs w:val="24"/>
        </w:rPr>
      </w:pPr>
    </w:p>
    <w:p w:rsidR="004465F6" w:rsidRPr="00196321" w:rsidRDefault="004465F6" w:rsidP="00372B57">
      <w:pPr>
        <w:pStyle w:val="ListParagraph"/>
        <w:numPr>
          <w:ilvl w:val="0"/>
          <w:numId w:val="1"/>
        </w:numPr>
        <w:ind w:left="360"/>
        <w:rPr>
          <w:b/>
          <w:sz w:val="24"/>
          <w:szCs w:val="24"/>
        </w:rPr>
      </w:pPr>
      <w:r>
        <w:rPr>
          <w:sz w:val="24"/>
          <w:szCs w:val="24"/>
        </w:rPr>
        <w:t>The above suggested procedure will ensure that AEA maintains a healthy Net Asset Reserve Ratio; while allowing the organization to evaluate and fund Strategic Initiatives that will allow AEA to grow and continue to move forward into the future.</w:t>
      </w:r>
    </w:p>
    <w:p w:rsidR="004465F6" w:rsidRPr="00196321" w:rsidRDefault="004465F6" w:rsidP="00372B57">
      <w:pPr>
        <w:ind w:left="360" w:hanging="360"/>
        <w:rPr>
          <w:b/>
        </w:rPr>
      </w:pPr>
    </w:p>
    <w:p w:rsidR="004465F6" w:rsidRDefault="004465F6"/>
    <w:p w:rsidR="004465F6" w:rsidRDefault="004465F6"/>
    <w:p w:rsidR="004465F6" w:rsidRDefault="004465F6"/>
    <w:p w:rsidR="004465F6" w:rsidRDefault="004465F6"/>
    <w:p w:rsidR="004465F6" w:rsidRDefault="004465F6"/>
    <w:p w:rsidR="004465F6" w:rsidRPr="00D218E7" w:rsidRDefault="004465F6">
      <w:pPr>
        <w:rPr>
          <w:rFonts w:asciiTheme="minorHAnsi" w:hAnsiTheme="minorHAnsi" w:cstheme="minorBidi"/>
          <w:b/>
          <w:u w:val="single"/>
        </w:rPr>
      </w:pPr>
      <w:r w:rsidRPr="00D218E7">
        <w:rPr>
          <w:rFonts w:asciiTheme="minorHAnsi" w:hAnsiTheme="minorHAnsi" w:cstheme="minorBidi"/>
          <w:b/>
          <w:u w:val="single"/>
        </w:rPr>
        <w:t>Current Definitions in AEA Policy:</w:t>
      </w:r>
    </w:p>
    <w:p w:rsidR="004465F6" w:rsidRPr="004465F6" w:rsidRDefault="004465F6" w:rsidP="004465F6">
      <w:pPr>
        <w:rPr>
          <w:rFonts w:asciiTheme="minorHAnsi" w:hAnsiTheme="minorHAnsi" w:cstheme="minorBidi"/>
        </w:rPr>
      </w:pPr>
    </w:p>
    <w:p w:rsidR="004465F6" w:rsidRPr="004465F6" w:rsidRDefault="004465F6" w:rsidP="004465F6">
      <w:pPr>
        <w:rPr>
          <w:rFonts w:asciiTheme="minorHAnsi" w:hAnsiTheme="minorHAnsi" w:cstheme="minorBidi"/>
        </w:rPr>
      </w:pPr>
    </w:p>
    <w:p w:rsidR="004465F6" w:rsidRPr="004465F6" w:rsidRDefault="005543D0" w:rsidP="004465F6">
      <w:pPr>
        <w:rPr>
          <w:rFonts w:asciiTheme="minorHAnsi" w:hAnsiTheme="minorHAnsi" w:cstheme="minorBidi"/>
        </w:rPr>
      </w:pPr>
      <w:r>
        <w:rPr>
          <w:rFonts w:asciiTheme="minorHAnsi" w:hAnsiTheme="minorHAnsi" w:cstheme="minorBidi"/>
        </w:rPr>
        <w:t>Net Assets</w:t>
      </w:r>
      <w:r w:rsidR="004465F6" w:rsidRPr="004465F6">
        <w:rPr>
          <w:rFonts w:asciiTheme="minorHAnsi" w:hAnsiTheme="minorHAnsi" w:cstheme="minorBidi"/>
        </w:rPr>
        <w:t xml:space="preserve">: The </w:t>
      </w:r>
      <w:r>
        <w:rPr>
          <w:rFonts w:asciiTheme="minorHAnsi" w:hAnsiTheme="minorHAnsi" w:cstheme="minorBidi"/>
        </w:rPr>
        <w:t xml:space="preserve">Net Assets </w:t>
      </w:r>
      <w:r w:rsidR="004465F6" w:rsidRPr="004465F6">
        <w:rPr>
          <w:rFonts w:asciiTheme="minorHAnsi" w:hAnsiTheme="minorHAnsi" w:cstheme="minorBidi"/>
        </w:rPr>
        <w:t>is an unrestricted fund balance representing those funds available for programs and services. The General Reserve is identified at the beginning of each fiscal year and is defined as subtracting the Operating Reserve from the Net Assets of the Association at the close of the fiscal year. The Board establishes policy that sets parameters on accessing the funds within the General Reserve.</w:t>
      </w:r>
    </w:p>
    <w:p w:rsidR="004465F6" w:rsidRPr="004465F6" w:rsidRDefault="004465F6" w:rsidP="004465F6">
      <w:pPr>
        <w:rPr>
          <w:rFonts w:asciiTheme="minorHAnsi" w:hAnsiTheme="minorHAnsi" w:cstheme="minorBidi"/>
        </w:rPr>
      </w:pPr>
    </w:p>
    <w:p w:rsidR="004465F6" w:rsidRPr="004465F6" w:rsidRDefault="004465F6" w:rsidP="004465F6">
      <w:pPr>
        <w:rPr>
          <w:rFonts w:asciiTheme="minorHAnsi" w:hAnsiTheme="minorHAnsi" w:cstheme="minorBidi"/>
        </w:rPr>
      </w:pPr>
      <w:r w:rsidRPr="004465F6">
        <w:rPr>
          <w:rFonts w:asciiTheme="minorHAnsi" w:hAnsiTheme="minorHAnsi" w:cstheme="minorBidi"/>
        </w:rPr>
        <w:t>...</w:t>
      </w:r>
    </w:p>
    <w:p w:rsidR="004465F6" w:rsidRPr="004465F6" w:rsidRDefault="004465F6" w:rsidP="004465F6">
      <w:pPr>
        <w:rPr>
          <w:rFonts w:asciiTheme="minorHAnsi" w:hAnsiTheme="minorHAnsi" w:cstheme="minorBidi"/>
        </w:rPr>
      </w:pPr>
    </w:p>
    <w:p w:rsidR="004465F6" w:rsidRPr="004465F6" w:rsidRDefault="004465F6" w:rsidP="004465F6">
      <w:pPr>
        <w:rPr>
          <w:rFonts w:asciiTheme="minorHAnsi" w:hAnsiTheme="minorHAnsi" w:cstheme="minorBidi"/>
        </w:rPr>
      </w:pPr>
      <w:r w:rsidRPr="004465F6">
        <w:rPr>
          <w:rFonts w:asciiTheme="minorHAnsi" w:hAnsiTheme="minorHAnsi" w:cstheme="minorBidi"/>
        </w:rPr>
        <w:t>Net Assets: Net Assets are the difference between the association’s total financial assets and total financial liabilities (accounts payable and debts). AEA divides its net assets into two categories, the Operating Reserve and the General Reserve.</w:t>
      </w:r>
    </w:p>
    <w:p w:rsidR="004465F6" w:rsidRPr="004465F6" w:rsidRDefault="004465F6" w:rsidP="004465F6">
      <w:pPr>
        <w:rPr>
          <w:rFonts w:asciiTheme="minorHAnsi" w:hAnsiTheme="minorHAnsi" w:cstheme="minorBidi"/>
        </w:rPr>
      </w:pPr>
    </w:p>
    <w:p w:rsidR="004465F6" w:rsidRPr="004465F6" w:rsidRDefault="004465F6" w:rsidP="004465F6">
      <w:pPr>
        <w:rPr>
          <w:rFonts w:asciiTheme="minorHAnsi" w:hAnsiTheme="minorHAnsi" w:cstheme="minorBidi"/>
        </w:rPr>
      </w:pPr>
      <w:r w:rsidRPr="004465F6">
        <w:rPr>
          <w:rFonts w:asciiTheme="minorHAnsi" w:hAnsiTheme="minorHAnsi" w:cstheme="minorBidi"/>
        </w:rPr>
        <w:t>Operating Reserve: The operating reserve is an unrestricted fund balance set aside to stabilize our finances by providing a cushion against emergencies or large, unexpected fluctuations in income. The Board sets policy that establishes parameters on accessing the funds within the Operating Reserve.</w:t>
      </w:r>
    </w:p>
    <w:p w:rsidR="004465F6" w:rsidRDefault="004465F6" w:rsidP="004465F6"/>
    <w:p w:rsidR="004465F6" w:rsidRDefault="004465F6" w:rsidP="004465F6"/>
    <w:p w:rsidR="005543D0" w:rsidRDefault="004465F6">
      <w:pPr>
        <w:spacing w:after="200" w:line="276" w:lineRule="auto"/>
      </w:pPr>
      <w:r>
        <w:br w:type="page"/>
      </w:r>
    </w:p>
    <w:tbl>
      <w:tblPr>
        <w:tblW w:w="10530" w:type="dxa"/>
        <w:tblInd w:w="108" w:type="dxa"/>
        <w:tblLayout w:type="fixed"/>
        <w:tblLook w:val="04A0" w:firstRow="1" w:lastRow="0" w:firstColumn="1" w:lastColumn="0" w:noHBand="0" w:noVBand="1"/>
      </w:tblPr>
      <w:tblGrid>
        <w:gridCol w:w="2970"/>
        <w:gridCol w:w="1440"/>
        <w:gridCol w:w="1260"/>
        <w:gridCol w:w="1260"/>
        <w:gridCol w:w="1260"/>
        <w:gridCol w:w="1147"/>
        <w:gridCol w:w="1193"/>
      </w:tblGrid>
      <w:tr w:rsidR="00793B91" w:rsidRPr="005543D0" w:rsidTr="005543D0">
        <w:trPr>
          <w:trHeight w:val="300"/>
        </w:trPr>
        <w:tc>
          <w:tcPr>
            <w:tcW w:w="2970" w:type="dxa"/>
            <w:tcBorders>
              <w:top w:val="nil"/>
              <w:left w:val="nil"/>
              <w:bottom w:val="nil"/>
              <w:right w:val="nil"/>
            </w:tcBorders>
            <w:shd w:val="clear" w:color="auto" w:fill="auto"/>
            <w:noWrap/>
            <w:vAlign w:val="bottom"/>
          </w:tcPr>
          <w:p w:rsidR="00793B91" w:rsidRPr="005543D0" w:rsidRDefault="00793B91" w:rsidP="005543D0">
            <w:pPr>
              <w:rPr>
                <w:rFonts w:ascii="Verdana" w:eastAsia="Times New Roman" w:hAnsi="Verdana" w:cs="Calibri"/>
                <w:sz w:val="16"/>
                <w:szCs w:val="16"/>
              </w:rPr>
            </w:pPr>
          </w:p>
        </w:tc>
        <w:tc>
          <w:tcPr>
            <w:tcW w:w="1440" w:type="dxa"/>
            <w:tcBorders>
              <w:top w:val="nil"/>
              <w:left w:val="nil"/>
              <w:bottom w:val="nil"/>
              <w:right w:val="nil"/>
            </w:tcBorders>
            <w:shd w:val="clear" w:color="auto" w:fill="auto"/>
            <w:noWrap/>
            <w:vAlign w:val="bottom"/>
          </w:tcPr>
          <w:p w:rsidR="00793B91" w:rsidRPr="005543D0" w:rsidRDefault="00793B91" w:rsidP="005543D0">
            <w:pPr>
              <w:jc w:val="center"/>
              <w:rPr>
                <w:rFonts w:ascii="Verdana" w:eastAsia="Times New Roman" w:hAnsi="Verdana" w:cs="Calibri"/>
                <w:sz w:val="16"/>
                <w:szCs w:val="16"/>
              </w:rPr>
            </w:pPr>
            <w:r>
              <w:rPr>
                <w:rFonts w:ascii="Verdana" w:eastAsia="Times New Roman" w:hAnsi="Verdana" w:cs="Calibri"/>
                <w:sz w:val="16"/>
                <w:szCs w:val="16"/>
              </w:rPr>
              <w:t>FY2013</w:t>
            </w:r>
          </w:p>
        </w:tc>
        <w:tc>
          <w:tcPr>
            <w:tcW w:w="1260" w:type="dxa"/>
            <w:tcBorders>
              <w:top w:val="nil"/>
              <w:left w:val="nil"/>
              <w:bottom w:val="nil"/>
              <w:right w:val="nil"/>
            </w:tcBorders>
            <w:shd w:val="clear" w:color="auto" w:fill="auto"/>
            <w:noWrap/>
            <w:vAlign w:val="bottom"/>
          </w:tcPr>
          <w:p w:rsidR="00793B91" w:rsidRPr="005543D0" w:rsidRDefault="00793B91" w:rsidP="00793B91">
            <w:pPr>
              <w:jc w:val="center"/>
              <w:rPr>
                <w:rFonts w:ascii="Verdana" w:eastAsia="Times New Roman" w:hAnsi="Verdana" w:cs="Calibri"/>
                <w:sz w:val="16"/>
                <w:szCs w:val="16"/>
              </w:rPr>
            </w:pPr>
            <w:r>
              <w:rPr>
                <w:rFonts w:ascii="Verdana" w:eastAsia="Times New Roman" w:hAnsi="Verdana" w:cs="Calibri"/>
                <w:sz w:val="16"/>
                <w:szCs w:val="16"/>
              </w:rPr>
              <w:t>FY2014</w:t>
            </w:r>
          </w:p>
        </w:tc>
        <w:tc>
          <w:tcPr>
            <w:tcW w:w="1260" w:type="dxa"/>
            <w:tcBorders>
              <w:top w:val="nil"/>
              <w:left w:val="nil"/>
              <w:bottom w:val="nil"/>
              <w:right w:val="nil"/>
            </w:tcBorders>
            <w:shd w:val="clear" w:color="auto" w:fill="auto"/>
            <w:noWrap/>
            <w:vAlign w:val="bottom"/>
          </w:tcPr>
          <w:p w:rsidR="00793B91" w:rsidRPr="005543D0" w:rsidRDefault="00793B91" w:rsidP="005543D0">
            <w:pPr>
              <w:jc w:val="center"/>
              <w:rPr>
                <w:rFonts w:ascii="Verdana" w:eastAsia="Times New Roman" w:hAnsi="Verdana" w:cs="Calibri"/>
                <w:sz w:val="16"/>
                <w:szCs w:val="16"/>
              </w:rPr>
            </w:pPr>
            <w:r>
              <w:rPr>
                <w:rFonts w:ascii="Verdana" w:eastAsia="Times New Roman" w:hAnsi="Verdana" w:cs="Calibri"/>
                <w:sz w:val="16"/>
                <w:szCs w:val="16"/>
              </w:rPr>
              <w:t>FY2015</w:t>
            </w:r>
          </w:p>
        </w:tc>
        <w:tc>
          <w:tcPr>
            <w:tcW w:w="1260" w:type="dxa"/>
            <w:tcBorders>
              <w:top w:val="nil"/>
              <w:left w:val="nil"/>
              <w:bottom w:val="nil"/>
              <w:right w:val="nil"/>
            </w:tcBorders>
            <w:shd w:val="clear" w:color="auto" w:fill="auto"/>
            <w:noWrap/>
            <w:vAlign w:val="bottom"/>
          </w:tcPr>
          <w:p w:rsidR="00793B91" w:rsidRPr="005543D0" w:rsidRDefault="00793B91" w:rsidP="00793B91">
            <w:pPr>
              <w:jc w:val="center"/>
              <w:rPr>
                <w:rFonts w:ascii="Verdana" w:eastAsia="Times New Roman" w:hAnsi="Verdana" w:cs="Calibri"/>
                <w:sz w:val="16"/>
                <w:szCs w:val="16"/>
              </w:rPr>
            </w:pPr>
            <w:r>
              <w:rPr>
                <w:rFonts w:ascii="Verdana" w:eastAsia="Times New Roman" w:hAnsi="Verdana" w:cs="Calibri"/>
                <w:sz w:val="16"/>
                <w:szCs w:val="16"/>
              </w:rPr>
              <w:t>FY2016</w:t>
            </w:r>
          </w:p>
        </w:tc>
        <w:tc>
          <w:tcPr>
            <w:tcW w:w="1147" w:type="dxa"/>
            <w:tcBorders>
              <w:top w:val="nil"/>
              <w:left w:val="nil"/>
              <w:bottom w:val="nil"/>
              <w:right w:val="nil"/>
            </w:tcBorders>
            <w:shd w:val="clear" w:color="auto" w:fill="auto"/>
            <w:noWrap/>
            <w:vAlign w:val="bottom"/>
          </w:tcPr>
          <w:p w:rsidR="00793B91" w:rsidRPr="005543D0" w:rsidRDefault="00793B91" w:rsidP="005543D0">
            <w:pPr>
              <w:jc w:val="center"/>
              <w:rPr>
                <w:rFonts w:ascii="Verdana" w:eastAsia="Times New Roman" w:hAnsi="Verdana" w:cs="Calibri"/>
                <w:sz w:val="16"/>
                <w:szCs w:val="16"/>
              </w:rPr>
            </w:pPr>
            <w:r>
              <w:rPr>
                <w:rFonts w:ascii="Verdana" w:eastAsia="Times New Roman" w:hAnsi="Verdana" w:cs="Calibri"/>
                <w:sz w:val="16"/>
                <w:szCs w:val="16"/>
              </w:rPr>
              <w:t>FY2016</w:t>
            </w:r>
          </w:p>
        </w:tc>
        <w:tc>
          <w:tcPr>
            <w:tcW w:w="1193" w:type="dxa"/>
            <w:tcBorders>
              <w:top w:val="nil"/>
              <w:left w:val="nil"/>
              <w:bottom w:val="nil"/>
              <w:right w:val="nil"/>
            </w:tcBorders>
            <w:shd w:val="clear" w:color="auto" w:fill="auto"/>
            <w:noWrap/>
            <w:vAlign w:val="bottom"/>
          </w:tcPr>
          <w:p w:rsidR="00793B91" w:rsidRPr="005543D0" w:rsidRDefault="00793B91" w:rsidP="005543D0">
            <w:pPr>
              <w:jc w:val="center"/>
              <w:rPr>
                <w:rFonts w:ascii="Verdana" w:eastAsia="Times New Roman" w:hAnsi="Verdana" w:cs="Calibri"/>
                <w:sz w:val="16"/>
                <w:szCs w:val="16"/>
              </w:rPr>
            </w:pPr>
            <w:r>
              <w:rPr>
                <w:rFonts w:ascii="Verdana" w:eastAsia="Times New Roman" w:hAnsi="Verdana" w:cs="Calibri"/>
                <w:sz w:val="16"/>
                <w:szCs w:val="16"/>
              </w:rPr>
              <w:t>FY2017</w:t>
            </w:r>
          </w:p>
        </w:tc>
      </w:tr>
      <w:tr w:rsidR="005543D0" w:rsidRPr="005543D0" w:rsidTr="005543D0">
        <w:trPr>
          <w:trHeight w:val="300"/>
        </w:trPr>
        <w:tc>
          <w:tcPr>
            <w:tcW w:w="2970" w:type="dxa"/>
            <w:tcBorders>
              <w:top w:val="nil"/>
              <w:left w:val="nil"/>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Actual</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Actual</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Actual</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Actual</w:t>
            </w: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Actual</w:t>
            </w: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xml:space="preserve">Budget </w:t>
            </w:r>
          </w:p>
        </w:tc>
      </w:tr>
      <w:tr w:rsidR="005543D0" w:rsidRPr="005543D0" w:rsidTr="005543D0">
        <w:trPr>
          <w:trHeight w:val="315"/>
        </w:trPr>
        <w:tc>
          <w:tcPr>
            <w:tcW w:w="2970" w:type="dxa"/>
            <w:tcBorders>
              <w:top w:val="nil"/>
              <w:left w:val="single" w:sz="8"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 </w:t>
            </w: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Audited</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Audited</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Audited</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Audited</w:t>
            </w: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Un-Audited</w:t>
            </w: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r>
      <w:tr w:rsidR="005543D0" w:rsidRPr="005543D0" w:rsidTr="005543D0">
        <w:trPr>
          <w:trHeight w:val="315"/>
        </w:trPr>
        <w:tc>
          <w:tcPr>
            <w:tcW w:w="2970" w:type="dxa"/>
            <w:tcBorders>
              <w:top w:val="single" w:sz="12" w:space="0" w:color="auto"/>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 </w:t>
            </w:r>
          </w:p>
        </w:tc>
        <w:tc>
          <w:tcPr>
            <w:tcW w:w="1440" w:type="dxa"/>
            <w:tcBorders>
              <w:top w:val="single" w:sz="12" w:space="0" w:color="auto"/>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w:t>
            </w:r>
          </w:p>
        </w:tc>
        <w:tc>
          <w:tcPr>
            <w:tcW w:w="1260" w:type="dxa"/>
            <w:tcBorders>
              <w:top w:val="single" w:sz="12" w:space="0" w:color="auto"/>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w:t>
            </w:r>
          </w:p>
        </w:tc>
        <w:tc>
          <w:tcPr>
            <w:tcW w:w="1260" w:type="dxa"/>
            <w:tcBorders>
              <w:top w:val="single" w:sz="12" w:space="0" w:color="auto"/>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w:t>
            </w:r>
          </w:p>
        </w:tc>
        <w:tc>
          <w:tcPr>
            <w:tcW w:w="1260" w:type="dxa"/>
            <w:tcBorders>
              <w:top w:val="single" w:sz="12" w:space="0" w:color="auto"/>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w:t>
            </w:r>
          </w:p>
        </w:tc>
        <w:tc>
          <w:tcPr>
            <w:tcW w:w="1147" w:type="dxa"/>
            <w:tcBorders>
              <w:top w:val="single" w:sz="12" w:space="0" w:color="auto"/>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w:t>
            </w:r>
          </w:p>
        </w:tc>
        <w:tc>
          <w:tcPr>
            <w:tcW w:w="1193" w:type="dxa"/>
            <w:tcBorders>
              <w:top w:val="single" w:sz="12" w:space="0" w:color="auto"/>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w:t>
            </w:r>
          </w:p>
        </w:tc>
      </w:tr>
      <w:tr w:rsidR="005543D0" w:rsidRPr="005543D0" w:rsidTr="005543D0">
        <w:trPr>
          <w:trHeight w:val="300"/>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Operations - Revenue</w:t>
            </w: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1,713,907</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1,831,371</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1,983,450</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1,969,349</w:t>
            </w: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2,165,791</w:t>
            </w: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2,397,223</w:t>
            </w:r>
          </w:p>
        </w:tc>
      </w:tr>
      <w:tr w:rsidR="005543D0" w:rsidRPr="005543D0" w:rsidTr="005543D0">
        <w:trPr>
          <w:trHeight w:val="300"/>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 </w:t>
            </w: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r>
      <w:tr w:rsidR="005543D0" w:rsidRPr="005543D0" w:rsidTr="005543D0">
        <w:trPr>
          <w:trHeight w:val="300"/>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 xml:space="preserve">Operations - Expenses </w:t>
            </w: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1,478,175</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1,524,116</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1,713,457</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1,858,468</w:t>
            </w: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2,075,549</w:t>
            </w: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2,384,676</w:t>
            </w:r>
          </w:p>
        </w:tc>
      </w:tr>
      <w:tr w:rsidR="005543D0" w:rsidRPr="005543D0" w:rsidTr="005543D0">
        <w:trPr>
          <w:trHeight w:val="300"/>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 </w:t>
            </w:r>
          </w:p>
        </w:tc>
        <w:tc>
          <w:tcPr>
            <w:tcW w:w="1440"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w:t>
            </w:r>
          </w:p>
        </w:tc>
        <w:tc>
          <w:tcPr>
            <w:tcW w:w="1260"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w:t>
            </w:r>
          </w:p>
        </w:tc>
        <w:tc>
          <w:tcPr>
            <w:tcW w:w="1260"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w:t>
            </w:r>
          </w:p>
        </w:tc>
        <w:tc>
          <w:tcPr>
            <w:tcW w:w="1260"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w:t>
            </w:r>
          </w:p>
        </w:tc>
        <w:tc>
          <w:tcPr>
            <w:tcW w:w="1147"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w:t>
            </w: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r>
      <w:tr w:rsidR="005543D0" w:rsidRPr="005543D0" w:rsidTr="005543D0">
        <w:trPr>
          <w:trHeight w:val="450"/>
        </w:trPr>
        <w:tc>
          <w:tcPr>
            <w:tcW w:w="2970" w:type="dxa"/>
            <w:tcBorders>
              <w:top w:val="nil"/>
              <w:left w:val="single" w:sz="12" w:space="0" w:color="auto"/>
              <w:bottom w:val="nil"/>
              <w:right w:val="nil"/>
            </w:tcBorders>
            <w:shd w:val="clear" w:color="auto" w:fill="auto"/>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Net Change in Net Assets - Operations</w:t>
            </w: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235,732</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307,255</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269,993</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110,881</w:t>
            </w: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90,242</w:t>
            </w:r>
          </w:p>
        </w:tc>
        <w:tc>
          <w:tcPr>
            <w:tcW w:w="1193" w:type="dxa"/>
            <w:tcBorders>
              <w:top w:val="single" w:sz="4" w:space="0" w:color="auto"/>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12,547</w:t>
            </w:r>
          </w:p>
        </w:tc>
      </w:tr>
      <w:tr w:rsidR="005543D0" w:rsidRPr="005543D0" w:rsidTr="005543D0">
        <w:trPr>
          <w:trHeight w:val="300"/>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 </w:t>
            </w: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r>
      <w:tr w:rsidR="005543D0" w:rsidRPr="005543D0" w:rsidTr="005543D0">
        <w:trPr>
          <w:trHeight w:val="300"/>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Non Operations</w:t>
            </w: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r>
      <w:tr w:rsidR="005543D0" w:rsidRPr="005543D0" w:rsidTr="005543D0">
        <w:trPr>
          <w:trHeight w:val="300"/>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 </w:t>
            </w: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r>
      <w:tr w:rsidR="005543D0" w:rsidRPr="005543D0" w:rsidTr="005543D0">
        <w:trPr>
          <w:trHeight w:val="300"/>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Non-Operations Revenue:</w:t>
            </w: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0</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0</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86,390</w:t>
            </w: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59,384</w:t>
            </w: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31,315</w:t>
            </w: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430,953</w:t>
            </w:r>
          </w:p>
        </w:tc>
      </w:tr>
      <w:tr w:rsidR="005543D0" w:rsidRPr="005543D0" w:rsidTr="005543D0">
        <w:trPr>
          <w:trHeight w:val="300"/>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 </w:t>
            </w: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r>
      <w:tr w:rsidR="005543D0" w:rsidRPr="005543D0" w:rsidTr="005543D0">
        <w:trPr>
          <w:trHeight w:val="300"/>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 xml:space="preserve">Non-Operations Expenses: </w:t>
            </w:r>
          </w:p>
        </w:tc>
        <w:tc>
          <w:tcPr>
            <w:tcW w:w="1440"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0</w:t>
            </w:r>
          </w:p>
        </w:tc>
        <w:tc>
          <w:tcPr>
            <w:tcW w:w="1260"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0</w:t>
            </w:r>
          </w:p>
        </w:tc>
        <w:tc>
          <w:tcPr>
            <w:tcW w:w="1260"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14,855</w:t>
            </w:r>
          </w:p>
        </w:tc>
        <w:tc>
          <w:tcPr>
            <w:tcW w:w="1260"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14,070</w:t>
            </w:r>
          </w:p>
        </w:tc>
        <w:tc>
          <w:tcPr>
            <w:tcW w:w="1147"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27,478</w:t>
            </w:r>
          </w:p>
        </w:tc>
        <w:tc>
          <w:tcPr>
            <w:tcW w:w="1193"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433,000</w:t>
            </w:r>
          </w:p>
        </w:tc>
      </w:tr>
      <w:tr w:rsidR="005543D0" w:rsidRPr="005543D0" w:rsidTr="005543D0">
        <w:trPr>
          <w:trHeight w:val="300"/>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 </w:t>
            </w: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r>
      <w:tr w:rsidR="005543D0" w:rsidRPr="005543D0" w:rsidTr="005543D0">
        <w:trPr>
          <w:trHeight w:val="450"/>
        </w:trPr>
        <w:tc>
          <w:tcPr>
            <w:tcW w:w="2970" w:type="dxa"/>
            <w:tcBorders>
              <w:top w:val="nil"/>
              <w:left w:val="single" w:sz="12" w:space="0" w:color="auto"/>
              <w:bottom w:val="nil"/>
              <w:right w:val="nil"/>
            </w:tcBorders>
            <w:shd w:val="clear" w:color="auto" w:fill="auto"/>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Net Change in Net Assets - Non-Operations</w:t>
            </w:r>
          </w:p>
        </w:tc>
        <w:tc>
          <w:tcPr>
            <w:tcW w:w="1440"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0</w:t>
            </w:r>
          </w:p>
        </w:tc>
        <w:tc>
          <w:tcPr>
            <w:tcW w:w="1260"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0</w:t>
            </w:r>
          </w:p>
        </w:tc>
        <w:tc>
          <w:tcPr>
            <w:tcW w:w="1260"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71,536</w:t>
            </w:r>
          </w:p>
        </w:tc>
        <w:tc>
          <w:tcPr>
            <w:tcW w:w="1260"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45,314</w:t>
            </w:r>
          </w:p>
        </w:tc>
        <w:tc>
          <w:tcPr>
            <w:tcW w:w="1147"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3,838</w:t>
            </w:r>
          </w:p>
        </w:tc>
        <w:tc>
          <w:tcPr>
            <w:tcW w:w="1193" w:type="dxa"/>
            <w:tcBorders>
              <w:top w:val="nil"/>
              <w:left w:val="nil"/>
              <w:bottom w:val="single" w:sz="4"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(2,047)</w:t>
            </w:r>
          </w:p>
        </w:tc>
      </w:tr>
      <w:tr w:rsidR="005543D0" w:rsidRPr="005543D0" w:rsidTr="005543D0">
        <w:trPr>
          <w:trHeight w:val="300"/>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 </w:t>
            </w: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r>
      <w:tr w:rsidR="005543D0" w:rsidRPr="005543D0" w:rsidTr="005543D0">
        <w:trPr>
          <w:trHeight w:val="315"/>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Net Change in Net Assets</w:t>
            </w:r>
          </w:p>
        </w:tc>
        <w:tc>
          <w:tcPr>
            <w:tcW w:w="1440" w:type="dxa"/>
            <w:tcBorders>
              <w:top w:val="nil"/>
              <w:left w:val="nil"/>
              <w:bottom w:val="double" w:sz="6"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xml:space="preserve">$235,732 </w:t>
            </w:r>
          </w:p>
        </w:tc>
        <w:tc>
          <w:tcPr>
            <w:tcW w:w="1260" w:type="dxa"/>
            <w:tcBorders>
              <w:top w:val="nil"/>
              <w:left w:val="nil"/>
              <w:bottom w:val="double" w:sz="6"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xml:space="preserve">$307,255 </w:t>
            </w:r>
          </w:p>
        </w:tc>
        <w:tc>
          <w:tcPr>
            <w:tcW w:w="1260" w:type="dxa"/>
            <w:tcBorders>
              <w:top w:val="nil"/>
              <w:left w:val="nil"/>
              <w:bottom w:val="double" w:sz="6"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xml:space="preserve">$341,528 </w:t>
            </w:r>
          </w:p>
        </w:tc>
        <w:tc>
          <w:tcPr>
            <w:tcW w:w="1260" w:type="dxa"/>
            <w:tcBorders>
              <w:top w:val="nil"/>
              <w:left w:val="nil"/>
              <w:bottom w:val="double" w:sz="6"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xml:space="preserve">$156,195 </w:t>
            </w:r>
          </w:p>
        </w:tc>
        <w:tc>
          <w:tcPr>
            <w:tcW w:w="1147" w:type="dxa"/>
            <w:tcBorders>
              <w:top w:val="nil"/>
              <w:left w:val="nil"/>
              <w:bottom w:val="double" w:sz="6"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xml:space="preserve">$94,080 </w:t>
            </w:r>
          </w:p>
        </w:tc>
        <w:tc>
          <w:tcPr>
            <w:tcW w:w="1193" w:type="dxa"/>
            <w:tcBorders>
              <w:top w:val="nil"/>
              <w:left w:val="nil"/>
              <w:bottom w:val="double" w:sz="6" w:space="0" w:color="auto"/>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xml:space="preserve">$10,500 </w:t>
            </w:r>
          </w:p>
        </w:tc>
      </w:tr>
      <w:tr w:rsidR="005543D0" w:rsidRPr="005543D0" w:rsidTr="005543D0">
        <w:trPr>
          <w:trHeight w:val="315"/>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 </w:t>
            </w: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r>
      <w:tr w:rsidR="005543D0" w:rsidRPr="005543D0" w:rsidTr="005543D0">
        <w:trPr>
          <w:trHeight w:val="450"/>
        </w:trPr>
        <w:tc>
          <w:tcPr>
            <w:tcW w:w="2970" w:type="dxa"/>
            <w:tcBorders>
              <w:top w:val="nil"/>
              <w:left w:val="single" w:sz="12" w:space="0" w:color="auto"/>
              <w:bottom w:val="nil"/>
              <w:right w:val="nil"/>
            </w:tcBorders>
            <w:shd w:val="clear" w:color="auto" w:fill="auto"/>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Total Reserves (Unrestricted Net Assets)</w:t>
            </w:r>
          </w:p>
        </w:tc>
        <w:tc>
          <w:tcPr>
            <w:tcW w:w="1440" w:type="dxa"/>
            <w:tcBorders>
              <w:top w:val="nil"/>
              <w:left w:val="nil"/>
              <w:bottom w:val="nil"/>
              <w:right w:val="nil"/>
            </w:tcBorders>
            <w:shd w:val="clear" w:color="000000" w:fill="FFFF99"/>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xml:space="preserve"> $ 2,203,743 </w:t>
            </w:r>
          </w:p>
        </w:tc>
        <w:tc>
          <w:tcPr>
            <w:tcW w:w="1260" w:type="dxa"/>
            <w:tcBorders>
              <w:top w:val="nil"/>
              <w:left w:val="nil"/>
              <w:bottom w:val="nil"/>
              <w:right w:val="nil"/>
            </w:tcBorders>
            <w:shd w:val="clear" w:color="000000" w:fill="FFFF99"/>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xml:space="preserve"> $ 2,495,117 </w:t>
            </w:r>
          </w:p>
        </w:tc>
        <w:tc>
          <w:tcPr>
            <w:tcW w:w="1260" w:type="dxa"/>
            <w:tcBorders>
              <w:top w:val="nil"/>
              <w:left w:val="nil"/>
              <w:bottom w:val="nil"/>
              <w:right w:val="nil"/>
            </w:tcBorders>
            <w:shd w:val="clear" w:color="000000" w:fill="FFFF99"/>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xml:space="preserve"> $ 2,815,559 </w:t>
            </w:r>
          </w:p>
        </w:tc>
        <w:tc>
          <w:tcPr>
            <w:tcW w:w="1260" w:type="dxa"/>
            <w:tcBorders>
              <w:top w:val="nil"/>
              <w:left w:val="nil"/>
              <w:bottom w:val="nil"/>
              <w:right w:val="nil"/>
            </w:tcBorders>
            <w:shd w:val="clear" w:color="000000" w:fill="FFFF99"/>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xml:space="preserve"> $ 2,945,110 </w:t>
            </w:r>
          </w:p>
        </w:tc>
        <w:tc>
          <w:tcPr>
            <w:tcW w:w="1147" w:type="dxa"/>
            <w:tcBorders>
              <w:top w:val="nil"/>
              <w:left w:val="nil"/>
              <w:bottom w:val="nil"/>
              <w:right w:val="nil"/>
            </w:tcBorders>
            <w:shd w:val="clear" w:color="000000" w:fill="FFFF99"/>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xml:space="preserve"> $3,054,941 </w:t>
            </w:r>
          </w:p>
        </w:tc>
        <w:tc>
          <w:tcPr>
            <w:tcW w:w="1193" w:type="dxa"/>
            <w:tcBorders>
              <w:top w:val="nil"/>
              <w:left w:val="nil"/>
              <w:bottom w:val="nil"/>
              <w:right w:val="nil"/>
            </w:tcBorders>
            <w:shd w:val="clear" w:color="000000" w:fill="FFFF99"/>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 xml:space="preserve"> $3,066,441 </w:t>
            </w:r>
          </w:p>
        </w:tc>
      </w:tr>
      <w:tr w:rsidR="005543D0" w:rsidRPr="005543D0" w:rsidTr="005543D0">
        <w:trPr>
          <w:trHeight w:val="300"/>
        </w:trPr>
        <w:tc>
          <w:tcPr>
            <w:tcW w:w="2970" w:type="dxa"/>
            <w:tcBorders>
              <w:top w:val="nil"/>
              <w:left w:val="single" w:sz="12" w:space="0" w:color="auto"/>
              <w:bottom w:val="nil"/>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 </w:t>
            </w:r>
          </w:p>
        </w:tc>
        <w:tc>
          <w:tcPr>
            <w:tcW w:w="144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47"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c>
          <w:tcPr>
            <w:tcW w:w="1193" w:type="dxa"/>
            <w:tcBorders>
              <w:top w:val="nil"/>
              <w:left w:val="nil"/>
              <w:bottom w:val="nil"/>
              <w:right w:val="nil"/>
            </w:tcBorders>
            <w:shd w:val="clear" w:color="auto" w:fill="auto"/>
            <w:noWrap/>
            <w:vAlign w:val="bottom"/>
            <w:hideMark/>
          </w:tcPr>
          <w:p w:rsidR="005543D0" w:rsidRPr="005543D0" w:rsidRDefault="005543D0" w:rsidP="005543D0">
            <w:pPr>
              <w:jc w:val="center"/>
              <w:rPr>
                <w:rFonts w:ascii="Verdana" w:eastAsia="Times New Roman" w:hAnsi="Verdana" w:cs="Calibri"/>
                <w:sz w:val="16"/>
                <w:szCs w:val="16"/>
              </w:rPr>
            </w:pPr>
          </w:p>
        </w:tc>
      </w:tr>
      <w:tr w:rsidR="005543D0" w:rsidRPr="005543D0" w:rsidTr="005543D0">
        <w:trPr>
          <w:trHeight w:val="315"/>
        </w:trPr>
        <w:tc>
          <w:tcPr>
            <w:tcW w:w="2970" w:type="dxa"/>
            <w:tcBorders>
              <w:top w:val="nil"/>
              <w:left w:val="single" w:sz="12" w:space="0" w:color="auto"/>
              <w:bottom w:val="single" w:sz="12" w:space="0" w:color="auto"/>
              <w:right w:val="nil"/>
            </w:tcBorders>
            <w:shd w:val="clear" w:color="auto" w:fill="auto"/>
            <w:noWrap/>
            <w:vAlign w:val="bottom"/>
            <w:hideMark/>
          </w:tcPr>
          <w:p w:rsidR="005543D0" w:rsidRPr="005543D0" w:rsidRDefault="005543D0" w:rsidP="005543D0">
            <w:pPr>
              <w:rPr>
                <w:rFonts w:ascii="Verdana" w:eastAsia="Times New Roman" w:hAnsi="Verdana" w:cs="Calibri"/>
                <w:sz w:val="16"/>
                <w:szCs w:val="16"/>
              </w:rPr>
            </w:pPr>
            <w:r w:rsidRPr="005543D0">
              <w:rPr>
                <w:rFonts w:ascii="Verdana" w:eastAsia="Times New Roman" w:hAnsi="Verdana" w:cs="Calibri"/>
                <w:sz w:val="16"/>
                <w:szCs w:val="16"/>
              </w:rPr>
              <w:t>Reserves as a % of Total Operating Expenses</w:t>
            </w:r>
          </w:p>
        </w:tc>
        <w:tc>
          <w:tcPr>
            <w:tcW w:w="1440" w:type="dxa"/>
            <w:tcBorders>
              <w:top w:val="nil"/>
              <w:left w:val="nil"/>
              <w:bottom w:val="single" w:sz="12" w:space="0" w:color="auto"/>
              <w:right w:val="nil"/>
            </w:tcBorders>
            <w:shd w:val="clear" w:color="000000" w:fill="FFFF99"/>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149%</w:t>
            </w:r>
          </w:p>
        </w:tc>
        <w:tc>
          <w:tcPr>
            <w:tcW w:w="1260" w:type="dxa"/>
            <w:tcBorders>
              <w:top w:val="nil"/>
              <w:left w:val="nil"/>
              <w:bottom w:val="single" w:sz="12" w:space="0" w:color="auto"/>
              <w:right w:val="nil"/>
            </w:tcBorders>
            <w:shd w:val="clear" w:color="000000" w:fill="FFFF99"/>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164%</w:t>
            </w:r>
          </w:p>
        </w:tc>
        <w:tc>
          <w:tcPr>
            <w:tcW w:w="1260" w:type="dxa"/>
            <w:tcBorders>
              <w:top w:val="nil"/>
              <w:left w:val="nil"/>
              <w:bottom w:val="single" w:sz="12" w:space="0" w:color="auto"/>
              <w:right w:val="nil"/>
            </w:tcBorders>
            <w:shd w:val="clear" w:color="000000" w:fill="FFFF99"/>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164%</w:t>
            </w:r>
          </w:p>
        </w:tc>
        <w:tc>
          <w:tcPr>
            <w:tcW w:w="1260" w:type="dxa"/>
            <w:tcBorders>
              <w:top w:val="nil"/>
              <w:left w:val="nil"/>
              <w:bottom w:val="single" w:sz="12" w:space="0" w:color="auto"/>
              <w:right w:val="nil"/>
            </w:tcBorders>
            <w:shd w:val="clear" w:color="000000" w:fill="FFFF99"/>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158%</w:t>
            </w:r>
          </w:p>
        </w:tc>
        <w:tc>
          <w:tcPr>
            <w:tcW w:w="1147" w:type="dxa"/>
            <w:tcBorders>
              <w:top w:val="nil"/>
              <w:left w:val="nil"/>
              <w:bottom w:val="single" w:sz="12" w:space="0" w:color="auto"/>
              <w:right w:val="nil"/>
            </w:tcBorders>
            <w:shd w:val="clear" w:color="000000" w:fill="FFFF99"/>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147%</w:t>
            </w:r>
          </w:p>
        </w:tc>
        <w:tc>
          <w:tcPr>
            <w:tcW w:w="1193" w:type="dxa"/>
            <w:tcBorders>
              <w:top w:val="nil"/>
              <w:left w:val="nil"/>
              <w:bottom w:val="single" w:sz="12" w:space="0" w:color="auto"/>
              <w:right w:val="nil"/>
            </w:tcBorders>
            <w:shd w:val="clear" w:color="000000" w:fill="FFFF99"/>
            <w:noWrap/>
            <w:vAlign w:val="bottom"/>
            <w:hideMark/>
          </w:tcPr>
          <w:p w:rsidR="005543D0" w:rsidRPr="005543D0" w:rsidRDefault="005543D0" w:rsidP="005543D0">
            <w:pPr>
              <w:jc w:val="center"/>
              <w:rPr>
                <w:rFonts w:ascii="Verdana" w:eastAsia="Times New Roman" w:hAnsi="Verdana" w:cs="Calibri"/>
                <w:sz w:val="16"/>
                <w:szCs w:val="16"/>
              </w:rPr>
            </w:pPr>
            <w:r w:rsidRPr="005543D0">
              <w:rPr>
                <w:rFonts w:ascii="Verdana" w:eastAsia="Times New Roman" w:hAnsi="Verdana" w:cs="Calibri"/>
                <w:sz w:val="16"/>
                <w:szCs w:val="16"/>
              </w:rPr>
              <w:t>129%</w:t>
            </w:r>
          </w:p>
        </w:tc>
      </w:tr>
      <w:tr w:rsidR="005543D0" w:rsidRPr="005543D0" w:rsidTr="005543D0">
        <w:trPr>
          <w:trHeight w:val="315"/>
        </w:trPr>
        <w:tc>
          <w:tcPr>
            <w:tcW w:w="2970" w:type="dxa"/>
            <w:tcBorders>
              <w:top w:val="nil"/>
              <w:left w:val="nil"/>
              <w:bottom w:val="nil"/>
              <w:right w:val="nil"/>
            </w:tcBorders>
            <w:shd w:val="clear" w:color="auto" w:fill="auto"/>
            <w:noWrap/>
            <w:vAlign w:val="bottom"/>
            <w:hideMark/>
          </w:tcPr>
          <w:p w:rsidR="005543D0" w:rsidRPr="005543D0" w:rsidRDefault="005543D0" w:rsidP="005543D0">
            <w:pPr>
              <w:rPr>
                <w:rFonts w:ascii="Calibri" w:eastAsia="Times New Roman" w:hAnsi="Calibri" w:cs="Calibri"/>
                <w:color w:val="000000"/>
                <w:sz w:val="22"/>
                <w:szCs w:val="22"/>
              </w:rPr>
            </w:pPr>
          </w:p>
        </w:tc>
        <w:tc>
          <w:tcPr>
            <w:tcW w:w="1440" w:type="dxa"/>
            <w:tcBorders>
              <w:top w:val="nil"/>
              <w:left w:val="nil"/>
              <w:bottom w:val="nil"/>
              <w:right w:val="nil"/>
            </w:tcBorders>
            <w:shd w:val="clear" w:color="auto" w:fill="auto"/>
            <w:noWrap/>
            <w:vAlign w:val="bottom"/>
            <w:hideMark/>
          </w:tcPr>
          <w:p w:rsidR="005543D0" w:rsidRPr="005543D0" w:rsidRDefault="005543D0" w:rsidP="005543D0">
            <w:pPr>
              <w:rPr>
                <w:rFonts w:ascii="Calibri" w:eastAsia="Times New Roman" w:hAnsi="Calibri" w:cs="Calibri"/>
                <w:color w:val="000000"/>
                <w:sz w:val="22"/>
                <w:szCs w:val="22"/>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rPr>
                <w:rFonts w:ascii="Calibri" w:eastAsia="Times New Roman" w:hAnsi="Calibri" w:cs="Calibri"/>
                <w:color w:val="000000"/>
                <w:sz w:val="22"/>
                <w:szCs w:val="22"/>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rPr>
                <w:rFonts w:ascii="Calibri" w:eastAsia="Times New Roman" w:hAnsi="Calibri" w:cs="Calibri"/>
                <w:color w:val="000000"/>
                <w:sz w:val="22"/>
                <w:szCs w:val="22"/>
              </w:rPr>
            </w:pPr>
          </w:p>
        </w:tc>
        <w:tc>
          <w:tcPr>
            <w:tcW w:w="1260" w:type="dxa"/>
            <w:tcBorders>
              <w:top w:val="nil"/>
              <w:left w:val="nil"/>
              <w:bottom w:val="nil"/>
              <w:right w:val="nil"/>
            </w:tcBorders>
            <w:shd w:val="clear" w:color="auto" w:fill="auto"/>
            <w:noWrap/>
            <w:vAlign w:val="bottom"/>
            <w:hideMark/>
          </w:tcPr>
          <w:p w:rsidR="005543D0" w:rsidRPr="005543D0" w:rsidRDefault="005543D0" w:rsidP="005543D0">
            <w:pPr>
              <w:rPr>
                <w:rFonts w:ascii="Calibri" w:eastAsia="Times New Roman" w:hAnsi="Calibri" w:cs="Calibri"/>
                <w:color w:val="000000"/>
                <w:sz w:val="22"/>
                <w:szCs w:val="22"/>
              </w:rPr>
            </w:pPr>
          </w:p>
        </w:tc>
        <w:tc>
          <w:tcPr>
            <w:tcW w:w="1147" w:type="dxa"/>
            <w:tcBorders>
              <w:top w:val="nil"/>
              <w:left w:val="nil"/>
              <w:bottom w:val="nil"/>
              <w:right w:val="nil"/>
            </w:tcBorders>
            <w:shd w:val="clear" w:color="auto" w:fill="auto"/>
            <w:noWrap/>
            <w:vAlign w:val="bottom"/>
            <w:hideMark/>
          </w:tcPr>
          <w:p w:rsidR="005543D0" w:rsidRPr="005543D0" w:rsidRDefault="005543D0" w:rsidP="005543D0">
            <w:pPr>
              <w:rPr>
                <w:rFonts w:ascii="Calibri" w:eastAsia="Times New Roman" w:hAnsi="Calibri" w:cs="Calibri"/>
                <w:color w:val="000000"/>
                <w:sz w:val="22"/>
                <w:szCs w:val="22"/>
              </w:rPr>
            </w:pPr>
          </w:p>
        </w:tc>
        <w:tc>
          <w:tcPr>
            <w:tcW w:w="1193" w:type="dxa"/>
            <w:tcBorders>
              <w:top w:val="nil"/>
              <w:left w:val="nil"/>
              <w:bottom w:val="nil"/>
              <w:right w:val="nil"/>
            </w:tcBorders>
            <w:shd w:val="clear" w:color="auto" w:fill="auto"/>
            <w:noWrap/>
            <w:vAlign w:val="bottom"/>
            <w:hideMark/>
          </w:tcPr>
          <w:p w:rsidR="005543D0" w:rsidRPr="005543D0" w:rsidRDefault="005543D0" w:rsidP="005543D0">
            <w:pPr>
              <w:rPr>
                <w:rFonts w:ascii="Calibri" w:eastAsia="Times New Roman" w:hAnsi="Calibri" w:cs="Calibri"/>
                <w:color w:val="000000"/>
                <w:sz w:val="22"/>
                <w:szCs w:val="22"/>
              </w:rPr>
            </w:pPr>
          </w:p>
        </w:tc>
      </w:tr>
      <w:tr w:rsidR="005543D0" w:rsidRPr="005543D0" w:rsidTr="005543D0">
        <w:trPr>
          <w:trHeight w:val="675"/>
        </w:trPr>
        <w:tc>
          <w:tcPr>
            <w:tcW w:w="10530" w:type="dxa"/>
            <w:gridSpan w:val="7"/>
            <w:tcBorders>
              <w:top w:val="nil"/>
              <w:left w:val="nil"/>
              <w:bottom w:val="nil"/>
              <w:right w:val="nil"/>
            </w:tcBorders>
            <w:shd w:val="clear" w:color="000000" w:fill="FFFF00"/>
            <w:hideMark/>
          </w:tcPr>
          <w:p w:rsidR="005543D0" w:rsidRPr="005543D0" w:rsidRDefault="005543D0" w:rsidP="005543D0">
            <w:pPr>
              <w:rPr>
                <w:rFonts w:ascii="Verdana" w:eastAsia="Times New Roman" w:hAnsi="Verdana" w:cs="Calibri"/>
                <w:color w:val="000000"/>
                <w:sz w:val="16"/>
                <w:szCs w:val="16"/>
              </w:rPr>
            </w:pPr>
            <w:r w:rsidRPr="005543D0">
              <w:rPr>
                <w:rFonts w:ascii="Verdana" w:eastAsia="Times New Roman" w:hAnsi="Verdana" w:cs="Calibri"/>
                <w:color w:val="000000"/>
                <w:sz w:val="16"/>
                <w:szCs w:val="16"/>
              </w:rPr>
              <w:t>The reserves % is calculated by taking Total Reserves (Year-end Unrestricted Net Assets) and dividing it by the association's total operating expenses. Board and Temporarily Restricted Net Assets not reflected in Total Reserves. Prior to FY2014, Non-Operations was not separated from Operating activities.</w:t>
            </w:r>
          </w:p>
        </w:tc>
      </w:tr>
    </w:tbl>
    <w:p w:rsidR="004465F6" w:rsidRDefault="004465F6">
      <w:pPr>
        <w:spacing w:after="200" w:line="276" w:lineRule="auto"/>
      </w:pPr>
    </w:p>
    <w:p w:rsidR="005E5DEE" w:rsidRDefault="005E5DEE">
      <w:pPr>
        <w:spacing w:after="200" w:line="276" w:lineRule="auto"/>
      </w:pPr>
    </w:p>
    <w:sectPr w:rsidR="005E5D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62F26"/>
    <w:multiLevelType w:val="hybridMultilevel"/>
    <w:tmpl w:val="1E7240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5F6"/>
    <w:rsid w:val="001814BD"/>
    <w:rsid w:val="00270ABC"/>
    <w:rsid w:val="00372B57"/>
    <w:rsid w:val="004465F6"/>
    <w:rsid w:val="005543D0"/>
    <w:rsid w:val="005E5DEE"/>
    <w:rsid w:val="00793B91"/>
    <w:rsid w:val="00A22BEF"/>
    <w:rsid w:val="00B0749B"/>
    <w:rsid w:val="00B77D0B"/>
    <w:rsid w:val="00D218E7"/>
    <w:rsid w:val="00FC07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F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5F6"/>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793B91"/>
    <w:rPr>
      <w:rFonts w:ascii="Tahoma" w:hAnsi="Tahoma" w:cs="Tahoma"/>
      <w:sz w:val="16"/>
      <w:szCs w:val="16"/>
    </w:rPr>
  </w:style>
  <w:style w:type="character" w:customStyle="1" w:styleId="BalloonTextChar">
    <w:name w:val="Balloon Text Char"/>
    <w:basedOn w:val="DefaultParagraphFont"/>
    <w:link w:val="BalloonText"/>
    <w:uiPriority w:val="99"/>
    <w:semiHidden/>
    <w:rsid w:val="00793B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5F6"/>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5F6"/>
    <w:pPr>
      <w:spacing w:after="200" w:line="276" w:lineRule="auto"/>
      <w:ind w:left="720"/>
      <w:contextualSpacing/>
    </w:pPr>
    <w:rPr>
      <w:rFonts w:asciiTheme="minorHAnsi" w:hAnsiTheme="minorHAnsi" w:cstheme="minorBidi"/>
      <w:sz w:val="22"/>
      <w:szCs w:val="22"/>
    </w:rPr>
  </w:style>
  <w:style w:type="paragraph" w:styleId="BalloonText">
    <w:name w:val="Balloon Text"/>
    <w:basedOn w:val="Normal"/>
    <w:link w:val="BalloonTextChar"/>
    <w:uiPriority w:val="99"/>
    <w:semiHidden/>
    <w:unhideWhenUsed/>
    <w:rsid w:val="00793B91"/>
    <w:rPr>
      <w:rFonts w:ascii="Tahoma" w:hAnsi="Tahoma" w:cs="Tahoma"/>
      <w:sz w:val="16"/>
      <w:szCs w:val="16"/>
    </w:rPr>
  </w:style>
  <w:style w:type="character" w:customStyle="1" w:styleId="BalloonTextChar">
    <w:name w:val="Balloon Text Char"/>
    <w:basedOn w:val="DefaultParagraphFont"/>
    <w:link w:val="BalloonText"/>
    <w:uiPriority w:val="99"/>
    <w:semiHidden/>
    <w:rsid w:val="00793B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059746">
      <w:bodyDiv w:val="1"/>
      <w:marLeft w:val="0"/>
      <w:marRight w:val="0"/>
      <w:marTop w:val="0"/>
      <w:marBottom w:val="0"/>
      <w:divBdr>
        <w:top w:val="none" w:sz="0" w:space="0" w:color="auto"/>
        <w:left w:val="none" w:sz="0" w:space="0" w:color="auto"/>
        <w:bottom w:val="none" w:sz="0" w:space="0" w:color="auto"/>
        <w:right w:val="none" w:sz="0" w:space="0" w:color="auto"/>
      </w:divBdr>
    </w:div>
    <w:div w:id="350767769">
      <w:bodyDiv w:val="1"/>
      <w:marLeft w:val="0"/>
      <w:marRight w:val="0"/>
      <w:marTop w:val="0"/>
      <w:marBottom w:val="0"/>
      <w:divBdr>
        <w:top w:val="none" w:sz="0" w:space="0" w:color="auto"/>
        <w:left w:val="none" w:sz="0" w:space="0" w:color="auto"/>
        <w:bottom w:val="none" w:sz="0" w:space="0" w:color="auto"/>
        <w:right w:val="none" w:sz="0" w:space="0" w:color="auto"/>
      </w:divBdr>
    </w:div>
    <w:div w:id="808523021">
      <w:bodyDiv w:val="1"/>
      <w:marLeft w:val="0"/>
      <w:marRight w:val="0"/>
      <w:marTop w:val="0"/>
      <w:marBottom w:val="0"/>
      <w:divBdr>
        <w:top w:val="none" w:sz="0" w:space="0" w:color="auto"/>
        <w:left w:val="none" w:sz="0" w:space="0" w:color="auto"/>
        <w:bottom w:val="none" w:sz="0" w:space="0" w:color="auto"/>
        <w:right w:val="none" w:sz="0" w:space="0" w:color="auto"/>
      </w:divBdr>
    </w:div>
    <w:div w:id="1588886626">
      <w:bodyDiv w:val="1"/>
      <w:marLeft w:val="0"/>
      <w:marRight w:val="0"/>
      <w:marTop w:val="0"/>
      <w:marBottom w:val="0"/>
      <w:divBdr>
        <w:top w:val="none" w:sz="0" w:space="0" w:color="auto"/>
        <w:left w:val="none" w:sz="0" w:space="0" w:color="auto"/>
        <w:bottom w:val="none" w:sz="0" w:space="0" w:color="auto"/>
        <w:right w:val="none" w:sz="0" w:space="0" w:color="auto"/>
      </w:divBdr>
    </w:div>
    <w:div w:id="20716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45AA6D-5945-4E9E-8570-D69986803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Roosendaal</dc:creator>
  <cp:lastModifiedBy>Denise Roosendaal</cp:lastModifiedBy>
  <cp:revision>2</cp:revision>
  <cp:lastPrinted>2017-05-12T12:49:00Z</cp:lastPrinted>
  <dcterms:created xsi:type="dcterms:W3CDTF">2018-01-17T12:48:00Z</dcterms:created>
  <dcterms:modified xsi:type="dcterms:W3CDTF">2018-01-17T12:48:00Z</dcterms:modified>
</cp:coreProperties>
</file>